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39939" w14:textId="32AF2EAB" w:rsidR="005A0C0A" w:rsidRPr="00640123" w:rsidRDefault="005A0C0A">
      <w:pPr>
        <w:rPr>
          <w:b/>
          <w:bCs/>
          <w:sz w:val="28"/>
          <w:szCs w:val="28"/>
        </w:rPr>
      </w:pPr>
      <w:r w:rsidRPr="00640123">
        <w:rPr>
          <w:b/>
          <w:bCs/>
          <w:sz w:val="28"/>
          <w:szCs w:val="28"/>
        </w:rPr>
        <w:t>Videos:</w:t>
      </w:r>
    </w:p>
    <w:p w14:paraId="5E272A18" w14:textId="69E52E67" w:rsidR="005A0C0A" w:rsidRDefault="00640123">
      <w:hyperlink r:id="rId4" w:history="1">
        <w:r w:rsidR="005A0C0A" w:rsidRPr="00AF25FB">
          <w:rPr>
            <w:rStyle w:val="Hyperlink"/>
          </w:rPr>
          <w:t>https://youtu.be/N1X0vf5PUz4</w:t>
        </w:r>
      </w:hyperlink>
    </w:p>
    <w:p w14:paraId="11FBFE27" w14:textId="1991878B" w:rsidR="002B38D7" w:rsidRDefault="00640123">
      <w:hyperlink r:id="rId5" w:history="1">
        <w:r w:rsidR="002B38D7" w:rsidRPr="00AF25FB">
          <w:rPr>
            <w:rStyle w:val="Hyperlink"/>
          </w:rPr>
          <w:t>https://www.youtube.com/watch?v=BiCUCqiWOlo</w:t>
        </w:r>
      </w:hyperlink>
    </w:p>
    <w:p w14:paraId="48954AC1" w14:textId="1A3389B6" w:rsidR="002B38D7" w:rsidRPr="00640123" w:rsidRDefault="002B38D7">
      <w:pPr>
        <w:rPr>
          <w:b/>
          <w:bCs/>
          <w:sz w:val="28"/>
          <w:szCs w:val="28"/>
        </w:rPr>
      </w:pPr>
      <w:r w:rsidRPr="00640123">
        <w:rPr>
          <w:b/>
          <w:bCs/>
          <w:sz w:val="28"/>
          <w:szCs w:val="28"/>
        </w:rPr>
        <w:t>Games:</w:t>
      </w:r>
    </w:p>
    <w:p w14:paraId="4636BAD9" w14:textId="60A7B4A0" w:rsidR="00E90A04" w:rsidRDefault="00E90A04">
      <w:r>
        <w:t xml:space="preserve">This game lets students build 2 equivalent fractions for a given fraction. It allows them to cut the rectangle or circle into different pieces and shows on the number line as they get closer to </w:t>
      </w:r>
      <w:r w:rsidR="00DB53F6">
        <w:t>equivalence</w:t>
      </w:r>
      <w:r>
        <w:t>.</w:t>
      </w:r>
      <w:r w:rsidR="00DB53F6">
        <w:t xml:space="preserve"> </w:t>
      </w:r>
    </w:p>
    <w:p w14:paraId="6345CB10" w14:textId="7430B987" w:rsidR="00E90A04" w:rsidRDefault="00640123">
      <w:hyperlink r:id="rId6" w:history="1">
        <w:r w:rsidR="00E90A04" w:rsidRPr="00B050F2">
          <w:rPr>
            <w:rStyle w:val="Hyperlink"/>
          </w:rPr>
          <w:t>https://www.nctm.org/Classroom-Resources/Illuminations/Interactives/Equivalent-Fractions/</w:t>
        </w:r>
      </w:hyperlink>
    </w:p>
    <w:p w14:paraId="5A1ABCEA" w14:textId="65C3C0BE" w:rsidR="00E90A04" w:rsidRDefault="00E90A04">
      <w:r>
        <w:t>This is a matching game where students match the two equivalent fractions. It gives a visual as well to show that they cover the same amount of space.</w:t>
      </w:r>
    </w:p>
    <w:p w14:paraId="4DA3412D" w14:textId="4C06C3DB" w:rsidR="002B38D7" w:rsidRDefault="00640123" w:rsidP="002B38D7">
      <w:hyperlink r:id="rId7" w:history="1">
        <w:r w:rsidR="002B38D7" w:rsidRPr="002B38D7">
          <w:rPr>
            <w:rStyle w:val="Hyperlink"/>
          </w:rPr>
          <w:t>http://www.sheppardsoftware.com/mathgames/fractions/memory_equivalent1.htm</w:t>
        </w:r>
      </w:hyperlink>
    </w:p>
    <w:p w14:paraId="3A94762F" w14:textId="79A17FF1" w:rsidR="00E90A04" w:rsidRDefault="007E6ECB" w:rsidP="002B38D7">
      <w:r>
        <w:t>This gives a visual representation as well. You have a fraction and then must find the equivalent one.</w:t>
      </w:r>
    </w:p>
    <w:p w14:paraId="13CEF6FD" w14:textId="14EF70D3" w:rsidR="00E90A04" w:rsidRDefault="00640123" w:rsidP="00E90A04">
      <w:hyperlink r:id="rId8" w:history="1">
        <w:r w:rsidR="00E90A04" w:rsidRPr="00E90A04">
          <w:rPr>
            <w:rStyle w:val="Hyperlink"/>
          </w:rPr>
          <w:t>https://www.abcya.com/games/equivalent_fractions_bingo</w:t>
        </w:r>
      </w:hyperlink>
    </w:p>
    <w:p w14:paraId="297EC5C6" w14:textId="526E74D4" w:rsidR="007E6ECB" w:rsidRDefault="007E6ECB" w:rsidP="00E90A04">
      <w:r>
        <w:t>In this game you shoot targets for the equivalent fraction. There are no visuals so you must halve, double or triple the numerator and denominator.</w:t>
      </w:r>
    </w:p>
    <w:p w14:paraId="43384500" w14:textId="186CE10C" w:rsidR="00E90A04" w:rsidRDefault="00640123" w:rsidP="00E90A04">
      <w:hyperlink r:id="rId9" w:history="1">
        <w:r w:rsidR="007E6ECB" w:rsidRPr="00E90A04">
          <w:rPr>
            <w:rStyle w:val="Hyperlink"/>
          </w:rPr>
          <w:t>https://www.helpingwithmath.com/resources/games/fraction_game4/equivalent01.html</w:t>
        </w:r>
      </w:hyperlink>
    </w:p>
    <w:p w14:paraId="570602C0" w14:textId="50D3FCBF" w:rsidR="002B38D7" w:rsidRPr="00640123" w:rsidRDefault="00E15F5A" w:rsidP="002B38D7">
      <w:pPr>
        <w:rPr>
          <w:b/>
          <w:bCs/>
          <w:sz w:val="28"/>
          <w:szCs w:val="28"/>
        </w:rPr>
      </w:pPr>
      <w:r w:rsidRPr="00640123">
        <w:rPr>
          <w:b/>
          <w:bCs/>
          <w:sz w:val="28"/>
          <w:szCs w:val="28"/>
        </w:rPr>
        <w:t>Lessons:</w:t>
      </w:r>
    </w:p>
    <w:p w14:paraId="3F2FF3AB" w14:textId="77777777" w:rsidR="002B38D7" w:rsidRDefault="002B38D7"/>
    <w:p w14:paraId="03123C7A" w14:textId="7B7E780D" w:rsidR="00E15F5A" w:rsidRDefault="005A0C0A">
      <w:r>
        <w:rPr>
          <w:noProof/>
        </w:rPr>
        <w:drawing>
          <wp:anchor distT="0" distB="0" distL="114300" distR="114300" simplePos="0" relativeHeight="251658240" behindDoc="0" locked="0" layoutInCell="1" allowOverlap="1" wp14:anchorId="507C259D" wp14:editId="48B7C208">
            <wp:simplePos x="914400" y="5463540"/>
            <wp:positionH relativeFrom="column">
              <wp:align>left</wp:align>
            </wp:positionH>
            <wp:positionV relativeFrom="paragraph">
              <wp:align>top</wp:align>
            </wp:positionV>
            <wp:extent cx="4846320" cy="3286799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320" cy="3286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F5A">
        <w:br w:type="textWrapping" w:clear="all"/>
      </w:r>
    </w:p>
    <w:p w14:paraId="3DD09591" w14:textId="29ED8C54" w:rsidR="00E15F5A" w:rsidRDefault="00E15F5A">
      <w:r>
        <w:lastRenderedPageBreak/>
        <w:t>Here are some examples of equivalent fractions</w:t>
      </w:r>
      <w:r w:rsidR="00BC7CBB">
        <w:t>. You can see that the same amount is shaded, the shape is just broken into more (or less pieces). For example, you could have 2 chocolate bars that are the same size, but one is cut into 4 pieces and one is cut into 8 pieces. Eating 1 out of 4 pieces would be the same as eating 2 out of 8 pieces.</w:t>
      </w:r>
    </w:p>
    <w:p w14:paraId="3FC728B8" w14:textId="192D4BE8" w:rsidR="00BC7CBB" w:rsidRDefault="00BC7CBB">
      <w:r>
        <w:rPr>
          <w:noProof/>
        </w:rPr>
        <w:drawing>
          <wp:inline distT="0" distB="0" distL="0" distR="0" wp14:anchorId="1459A1BD" wp14:editId="4D9E96EB">
            <wp:extent cx="2486025" cy="2457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5D181" w14:textId="42ACE94F" w:rsidR="00BC7CBB" w:rsidRPr="00640123" w:rsidRDefault="00BC7CBB">
      <w:pPr>
        <w:rPr>
          <w:b/>
          <w:bCs/>
          <w:sz w:val="28"/>
          <w:szCs w:val="28"/>
        </w:rPr>
      </w:pPr>
      <w:r w:rsidRPr="00640123">
        <w:rPr>
          <w:b/>
          <w:bCs/>
          <w:sz w:val="28"/>
          <w:szCs w:val="28"/>
        </w:rPr>
        <w:t>More examples</w:t>
      </w:r>
      <w:r w:rsidR="00640123" w:rsidRPr="00640123">
        <w:rPr>
          <w:b/>
          <w:bCs/>
          <w:sz w:val="28"/>
          <w:szCs w:val="28"/>
        </w:rPr>
        <w:t>:</w:t>
      </w:r>
    </w:p>
    <w:p w14:paraId="5DA163A6" w14:textId="24E6CD6F" w:rsidR="00BC7CBB" w:rsidRDefault="00BC7CBB">
      <w:r>
        <w:rPr>
          <w:noProof/>
        </w:rPr>
        <w:drawing>
          <wp:anchor distT="0" distB="0" distL="114300" distR="114300" simplePos="0" relativeHeight="251660288" behindDoc="0" locked="0" layoutInCell="1" allowOverlap="1" wp14:anchorId="322AF4FC" wp14:editId="7FF3DF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76600" cy="1495425"/>
            <wp:effectExtent l="0" t="0" r="0" b="9525"/>
            <wp:wrapThrough wrapText="bothSides">
              <wp:wrapPolygon edited="0">
                <wp:start x="0" y="0"/>
                <wp:lineTo x="0" y="21462"/>
                <wp:lineTo x="21474" y="21462"/>
                <wp:lineTo x="2147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63DA0A" w14:textId="22F73FAB" w:rsidR="00BC7CBB" w:rsidRDefault="00BC7CBB">
      <w:r>
        <w:rPr>
          <w:noProof/>
        </w:rPr>
        <w:drawing>
          <wp:anchor distT="0" distB="0" distL="114300" distR="114300" simplePos="0" relativeHeight="251661312" behindDoc="0" locked="0" layoutInCell="1" allowOverlap="1" wp14:anchorId="37C15743" wp14:editId="4D33459D">
            <wp:simplePos x="0" y="0"/>
            <wp:positionH relativeFrom="margin">
              <wp:posOffset>3230880</wp:posOffset>
            </wp:positionH>
            <wp:positionV relativeFrom="paragraph">
              <wp:posOffset>1268730</wp:posOffset>
            </wp:positionV>
            <wp:extent cx="2880360" cy="1412240"/>
            <wp:effectExtent l="0" t="0" r="0" b="0"/>
            <wp:wrapThrough wrapText="bothSides">
              <wp:wrapPolygon edited="0">
                <wp:start x="0" y="0"/>
                <wp:lineTo x="0" y="21270"/>
                <wp:lineTo x="21429" y="21270"/>
                <wp:lineTo x="21429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9E6B25" wp14:editId="0CDA6D22">
            <wp:simplePos x="0" y="0"/>
            <wp:positionH relativeFrom="column">
              <wp:posOffset>655320</wp:posOffset>
            </wp:positionH>
            <wp:positionV relativeFrom="paragraph">
              <wp:posOffset>1688465</wp:posOffset>
            </wp:positionV>
            <wp:extent cx="22098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14" y="21417"/>
                <wp:lineTo x="2141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24EE1" w14:textId="780D7C75" w:rsidR="00BC7CBB" w:rsidRPr="00BC7CBB" w:rsidRDefault="00BC7CBB" w:rsidP="00BC7CBB"/>
    <w:p w14:paraId="386C86EC" w14:textId="3680CD4C" w:rsidR="00BC7CBB" w:rsidRPr="00BC7CBB" w:rsidRDefault="00BC7CBB" w:rsidP="00BC7CBB"/>
    <w:p w14:paraId="0650B3FB" w14:textId="61154FB7" w:rsidR="00BC7CBB" w:rsidRPr="00BC7CBB" w:rsidRDefault="00BC7CBB" w:rsidP="00BC7CBB"/>
    <w:p w14:paraId="09A00DC7" w14:textId="5C3D4D27" w:rsidR="00BC7CBB" w:rsidRPr="00BC7CBB" w:rsidRDefault="00BC7CBB" w:rsidP="00BC7CBB"/>
    <w:p w14:paraId="36C5C469" w14:textId="5C0CB18E" w:rsidR="00BC7CBB" w:rsidRPr="00BC7CBB" w:rsidRDefault="00BC7CBB" w:rsidP="00BC7CBB"/>
    <w:p w14:paraId="6E048460" w14:textId="3E575761" w:rsidR="00BC7CBB" w:rsidRPr="00BC7CBB" w:rsidRDefault="00BC7CBB" w:rsidP="00BC7CBB"/>
    <w:p w14:paraId="37BFEB7F" w14:textId="58BA3702" w:rsidR="00BC7CBB" w:rsidRPr="00BC7CBB" w:rsidRDefault="00BC7CBB" w:rsidP="00BC7CBB"/>
    <w:p w14:paraId="7ADD39B0" w14:textId="13FB1FB5" w:rsidR="00BC7CBB" w:rsidRPr="00BC7CBB" w:rsidRDefault="00BC7CBB" w:rsidP="00BC7CBB"/>
    <w:p w14:paraId="23FC2584" w14:textId="1B380CBA" w:rsidR="00BC7CBB" w:rsidRPr="00BC7CBB" w:rsidRDefault="00BC7CBB" w:rsidP="00BC7CBB"/>
    <w:p w14:paraId="504CF1E5" w14:textId="32E8AC1E" w:rsidR="00BC7CBB" w:rsidRPr="00BC7CBB" w:rsidRDefault="00BC7CBB" w:rsidP="00BC7CBB"/>
    <w:p w14:paraId="231FD125" w14:textId="16A72E8B" w:rsidR="00BC7CBB" w:rsidRPr="00BC7CBB" w:rsidRDefault="00BC7CBB" w:rsidP="00BC7CBB"/>
    <w:p w14:paraId="26B14385" w14:textId="7978018E" w:rsidR="00BC7CBB" w:rsidRDefault="00BC7CBB" w:rsidP="00BC7CBB"/>
    <w:p w14:paraId="0BE0A64A" w14:textId="4458288B" w:rsidR="00BC7CBB" w:rsidRDefault="00BC7CBB" w:rsidP="00BC7CBB"/>
    <w:p w14:paraId="2B254132" w14:textId="4E167A40" w:rsidR="00BC7CBB" w:rsidRDefault="008563E7" w:rsidP="00BC7CBB">
      <w:r>
        <w:lastRenderedPageBreak/>
        <w:t>What fraction of the rectangle is yellow?</w:t>
      </w:r>
    </w:p>
    <w:p w14:paraId="7B2AD55C" w14:textId="39DD417F" w:rsidR="008563E7" w:rsidRPr="001D4823" w:rsidRDefault="008563E7" w:rsidP="001D4823">
      <w:pPr>
        <w:ind w:firstLine="720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57F7F5D" wp14:editId="7A279898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175760" cy="962745"/>
            <wp:effectExtent l="0" t="0" r="0" b="8890"/>
            <wp:wrapThrough wrapText="bothSides">
              <wp:wrapPolygon edited="0">
                <wp:start x="0" y="0"/>
                <wp:lineTo x="0" y="21372"/>
                <wp:lineTo x="21482" y="21372"/>
                <wp:lineTo x="214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760" cy="962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8140772"/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9</m:t>
            </m:r>
          </m:den>
        </m:f>
      </m:oMath>
    </w:p>
    <w:bookmarkEnd w:id="0"/>
    <w:p w14:paraId="40589AAD" w14:textId="0C5301FB" w:rsidR="001D4823" w:rsidRDefault="001D4823" w:rsidP="00BC7CBB"/>
    <w:p w14:paraId="756F7625" w14:textId="77777777" w:rsidR="001D4823" w:rsidRDefault="001D4823" w:rsidP="00BC7CBB"/>
    <w:p w14:paraId="677FC423" w14:textId="4F208DCB" w:rsidR="001D4823" w:rsidRDefault="001D4823" w:rsidP="00BC7CBB">
      <w:r>
        <w:t>What is another way we can describe the yellow? Make less sections.</w:t>
      </w:r>
    </w:p>
    <w:p w14:paraId="3ACE4B5A" w14:textId="00BBA608" w:rsidR="001D4823" w:rsidRPr="001D4823" w:rsidRDefault="001D4823" w:rsidP="001D4823">
      <w:pPr>
        <w:ind w:left="720" w:firstLine="72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41AF61" wp14:editId="7BB9DCAB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198620" cy="948727"/>
            <wp:effectExtent l="0" t="0" r="0" b="3810"/>
            <wp:wrapThrough wrapText="bothSides">
              <wp:wrapPolygon edited="0">
                <wp:start x="0" y="0"/>
                <wp:lineTo x="0" y="21253"/>
                <wp:lineTo x="21463" y="21253"/>
                <wp:lineTo x="2146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620" cy="94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38140919"/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</w:p>
    <w:bookmarkEnd w:id="1"/>
    <w:p w14:paraId="5967BA22" w14:textId="24537818" w:rsidR="001D4823" w:rsidRDefault="001D4823">
      <w:pPr>
        <w:rPr>
          <w:sz w:val="40"/>
          <w:szCs w:val="40"/>
        </w:rPr>
      </w:pPr>
    </w:p>
    <w:p w14:paraId="51A2A45D" w14:textId="2EEC8362" w:rsidR="001D4823" w:rsidRDefault="001D4823">
      <w:r>
        <w:t>Look at the rectangle in 3 sections. How many sections are yellow?</w:t>
      </w:r>
    </w:p>
    <w:p w14:paraId="427909E3" w14:textId="012FEDCB" w:rsidR="001D4823" w:rsidRDefault="001D4823">
      <w:r>
        <w:t>What is another way we can describe the yellow? Make more sections.</w:t>
      </w:r>
    </w:p>
    <w:p w14:paraId="25E40074" w14:textId="2A7DF3C9" w:rsidR="001D4823" w:rsidRPr="001D4823" w:rsidRDefault="001D4823" w:rsidP="001D4823">
      <w:pPr>
        <w:ind w:firstLine="720"/>
        <w:rPr>
          <w:sz w:val="40"/>
          <w:szCs w:val="40"/>
        </w:rPr>
      </w:pPr>
      <w:r w:rsidRPr="001D4823">
        <w:rPr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3F20D704" wp14:editId="589ED8E5">
            <wp:simplePos x="914400" y="4175760"/>
            <wp:positionH relativeFrom="column">
              <wp:align>left</wp:align>
            </wp:positionH>
            <wp:positionV relativeFrom="paragraph">
              <wp:align>top</wp:align>
            </wp:positionV>
            <wp:extent cx="4185392" cy="929640"/>
            <wp:effectExtent l="0" t="0" r="5715" b="3810"/>
            <wp:wrapThrough wrapText="bothSides">
              <wp:wrapPolygon edited="0">
                <wp:start x="0" y="0"/>
                <wp:lineTo x="0" y="21246"/>
                <wp:lineTo x="21531" y="21246"/>
                <wp:lineTo x="2153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39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6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18</m:t>
            </m:r>
          </m:den>
        </m:f>
      </m:oMath>
    </w:p>
    <w:p w14:paraId="748E9496" w14:textId="77777777" w:rsidR="00242584" w:rsidRDefault="00242584"/>
    <w:p w14:paraId="0D156A2B" w14:textId="77777777" w:rsidR="00242584" w:rsidRDefault="00242584"/>
    <w:p w14:paraId="09F88514" w14:textId="45D9E391" w:rsidR="00640123" w:rsidRDefault="00640123"/>
    <w:p w14:paraId="52FBF8B5" w14:textId="4A93EA0C" w:rsidR="00640123" w:rsidRPr="00640123" w:rsidRDefault="00640123">
      <w:pPr>
        <w:rPr>
          <w:b/>
          <w:bCs/>
          <w:sz w:val="28"/>
          <w:szCs w:val="28"/>
        </w:rPr>
      </w:pPr>
      <w:r w:rsidRPr="00640123">
        <w:rPr>
          <w:b/>
          <w:bCs/>
          <w:sz w:val="28"/>
          <w:szCs w:val="28"/>
        </w:rPr>
        <w:t>Now you try!</w:t>
      </w:r>
    </w:p>
    <w:p w14:paraId="50D63C73" w14:textId="77777777" w:rsidR="00640123" w:rsidRDefault="00640123"/>
    <w:p w14:paraId="1E3669B3" w14:textId="1E161953" w:rsidR="00242584" w:rsidRDefault="00242584">
      <w:r>
        <w:t>What fraction of the rectangle is orange?</w:t>
      </w:r>
    </w:p>
    <w:p w14:paraId="03E18C7B" w14:textId="088C6769" w:rsidR="00242584" w:rsidRDefault="00242584">
      <w:r>
        <w:rPr>
          <w:noProof/>
        </w:rPr>
        <w:drawing>
          <wp:inline distT="0" distB="0" distL="0" distR="0" wp14:anchorId="5F7876AE" wp14:editId="226ABA1B">
            <wp:extent cx="4229100" cy="1249753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40911" cy="12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823">
        <w:br w:type="textWrapping" w:clear="all"/>
      </w:r>
      <w:r>
        <w:t>What are two equivalent fractions? (*Think about the example above</w:t>
      </w:r>
      <w:r w:rsidR="00437FF9">
        <w:t xml:space="preserve"> where you can </w:t>
      </w:r>
      <w:r>
        <w:t>break the rectangle into less pieces and then more pieces)</w:t>
      </w:r>
      <w:r w:rsidR="00437FF9">
        <w:t>.</w:t>
      </w:r>
    </w:p>
    <w:p w14:paraId="7C1E8442" w14:textId="77777777" w:rsidR="00640123" w:rsidRDefault="00640123"/>
    <w:p w14:paraId="4D1F6BA1" w14:textId="77777777" w:rsidR="00640123" w:rsidRDefault="00640123"/>
    <w:p w14:paraId="0C4DBAA9" w14:textId="77777777" w:rsidR="00640123" w:rsidRDefault="00640123"/>
    <w:p w14:paraId="0F21EE6A" w14:textId="4970ED55" w:rsidR="009425D4" w:rsidRDefault="009425D4">
      <w:bookmarkStart w:id="2" w:name="_GoBack"/>
      <w:bookmarkEnd w:id="2"/>
      <w:r>
        <w:lastRenderedPageBreak/>
        <w:t>What fractions of the rectangle is green?</w:t>
      </w:r>
    </w:p>
    <w:p w14:paraId="5BE84656" w14:textId="4ABF7F1E" w:rsidR="009425D4" w:rsidRDefault="009425D4">
      <w:r>
        <w:rPr>
          <w:noProof/>
        </w:rPr>
        <w:drawing>
          <wp:inline distT="0" distB="0" distL="0" distR="0" wp14:anchorId="2F7C8182" wp14:editId="0CCD8D6B">
            <wp:extent cx="4244340" cy="964046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266801" cy="96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2DD79" w14:textId="77777777" w:rsidR="009425D4" w:rsidRDefault="009425D4" w:rsidP="009425D4">
      <w:r>
        <w:t>What are two equivalent fractions? (*Think about the example above where you can break the rectangle into less pieces and then more pieces).</w:t>
      </w:r>
    </w:p>
    <w:p w14:paraId="6E868507" w14:textId="530515C1" w:rsidR="001D4823" w:rsidRDefault="00CE430C">
      <w:r>
        <w:t xml:space="preserve">When you’re showing how fractions are equivalent either draw 2 number lines or 2 rectangles of the exact same size, divide them into pieces according to the denominator and then </w:t>
      </w:r>
      <w:proofErr w:type="spellStart"/>
      <w:r>
        <w:t>colour</w:t>
      </w:r>
      <w:proofErr w:type="spellEnd"/>
      <w:r w:rsidR="009A79C1">
        <w:t xml:space="preserve"> or jump</w:t>
      </w:r>
      <w:r>
        <w:t xml:space="preserve"> the amount of the numerator.</w:t>
      </w:r>
      <w:r w:rsidR="00E651D4">
        <w:t xml:space="preserve"> It is extremely important that your two lines or shapes are the EXACT SAME SIZE </w:t>
      </w:r>
      <w:r w:rsidR="00E651D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A167AB" w14:textId="22880A3F" w:rsidR="009A79C1" w:rsidRDefault="009A79C1">
      <w:r>
        <w:t xml:space="preserve">For example: show how </w:t>
      </w:r>
      <w:bookmarkStart w:id="3" w:name="_Hlk38143472"/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bookmarkEnd w:id="3"/>
      <w:r>
        <w:t xml:space="preserve"> and are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</m:t>
            </m:r>
          </m:den>
        </m:f>
      </m:oMath>
      <w:r w:rsidRPr="009A79C1">
        <w:rPr>
          <w:sz w:val="32"/>
          <w:szCs w:val="32"/>
        </w:rPr>
        <w:t xml:space="preserve"> </w:t>
      </w:r>
      <w:r>
        <w:t xml:space="preserve"> equivalent.</w:t>
      </w:r>
    </w:p>
    <w:p w14:paraId="2A39A4C1" w14:textId="7EBC9EC8" w:rsidR="009A79C1" w:rsidRDefault="009A79C1">
      <w:r>
        <w:t>Number Lines:</w:t>
      </w:r>
    </w:p>
    <w:p w14:paraId="25245665" w14:textId="4744A3BF" w:rsidR="009A79C1" w:rsidRDefault="009A79C1">
      <w:r>
        <w:rPr>
          <w:noProof/>
        </w:rPr>
        <w:drawing>
          <wp:inline distT="0" distB="0" distL="0" distR="0" wp14:anchorId="2AB1B431" wp14:editId="3584EB53">
            <wp:extent cx="3718560" cy="1701827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27809" cy="170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4AB300" w14:textId="48004357" w:rsidR="009A79C1" w:rsidRDefault="009A79C1">
      <w:r>
        <w:t>Tape Diagrams:</w:t>
      </w:r>
    </w:p>
    <w:p w14:paraId="5385AC0D" w14:textId="14E0AC49" w:rsidR="001D4823" w:rsidRPr="001D4823" w:rsidRDefault="00E651D4">
      <w:r>
        <w:rPr>
          <w:noProof/>
        </w:rPr>
        <w:drawing>
          <wp:inline distT="0" distB="0" distL="0" distR="0" wp14:anchorId="0A3E2398" wp14:editId="0CE8451B">
            <wp:extent cx="5076825" cy="122872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823" w:rsidRPr="001D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0A"/>
    <w:rsid w:val="001D4823"/>
    <w:rsid w:val="00242584"/>
    <w:rsid w:val="002B38D7"/>
    <w:rsid w:val="00437FF9"/>
    <w:rsid w:val="005A0C0A"/>
    <w:rsid w:val="00640123"/>
    <w:rsid w:val="007E6ECB"/>
    <w:rsid w:val="008563E7"/>
    <w:rsid w:val="009425D4"/>
    <w:rsid w:val="009A79C1"/>
    <w:rsid w:val="00BC7CBB"/>
    <w:rsid w:val="00CE430C"/>
    <w:rsid w:val="00DB53F6"/>
    <w:rsid w:val="00E15F5A"/>
    <w:rsid w:val="00E651D4"/>
    <w:rsid w:val="00E9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DFBEF"/>
  <w15:chartTrackingRefBased/>
  <w15:docId w15:val="{23E16CFB-8FA4-4245-86E5-7E9B378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0C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C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0C0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D4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cya.com/games/equivalent_fractions_bingo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http://www.sheppardsoftware.com/mathgames/fractions/memory_equivalent1.ht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s://www.nctm.org/Classroom-Resources/Illuminations/Interactives/Equivalent-Fractions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v=BiCUCqiWOlo" TargetMode="Externa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hyperlink" Target="https://youtu.be/N1X0vf5PUz4" TargetMode="External"/><Relationship Id="rId9" Type="http://schemas.openxmlformats.org/officeDocument/2006/relationships/hyperlink" Target="https://www.helpingwithmath.com/resources/games/fraction_game4/equivalent01.html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MacKenzie, Sarah (ASD-S)</dc:creator>
  <cp:keywords/>
  <dc:description/>
  <cp:lastModifiedBy>Bent, Natalie (ASD-S)</cp:lastModifiedBy>
  <cp:revision>3</cp:revision>
  <dcterms:created xsi:type="dcterms:W3CDTF">2020-04-19T19:02:00Z</dcterms:created>
  <dcterms:modified xsi:type="dcterms:W3CDTF">2020-04-19T19:12:00Z</dcterms:modified>
</cp:coreProperties>
</file>